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5B3291AD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010108">
        <w:rPr>
          <w:rFonts w:ascii="Arial" w:hAnsi="Arial" w:cs="Arial"/>
          <w:b/>
          <w:color w:val="auto"/>
          <w:sz w:val="24"/>
          <w:szCs w:val="24"/>
        </w:rPr>
        <w:t>V</w:t>
      </w:r>
      <w:r w:rsidR="006F24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</w:t>
      </w:r>
      <w:r w:rsidR="00E156E6">
        <w:rPr>
          <w:rFonts w:ascii="Arial" w:hAnsi="Arial" w:cs="Arial"/>
          <w:b/>
          <w:color w:val="auto"/>
          <w:sz w:val="24"/>
          <w:szCs w:val="24"/>
        </w:rPr>
        <w:t>20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59A97E86" w:rsidR="009A669B" w:rsidRPr="00141A92" w:rsidRDefault="00B548D3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05CC80E6" w:rsidR="009A669B" w:rsidRPr="00ED63FB" w:rsidRDefault="00542A9F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7.05.2018 - </w:t>
            </w:r>
            <w:r w:rsidR="007E1E8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.08</w:t>
            </w:r>
            <w:r w:rsidR="009A669B" w:rsidRPr="00ED63FB">
              <w:rPr>
                <w:rFonts w:ascii="Arial" w:hAnsi="Arial" w:cs="Arial"/>
                <w:sz w:val="18"/>
                <w:szCs w:val="18"/>
              </w:rPr>
              <w:t>.2021</w:t>
            </w:r>
            <w:r w:rsidR="007E257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249A7">
              <w:rPr>
                <w:rFonts w:ascii="Arial" w:hAnsi="Arial" w:cs="Arial"/>
                <w:sz w:val="18"/>
                <w:szCs w:val="18"/>
              </w:rPr>
              <w:t>Aneks z CPPC z dn. 2.12.2020 r.</w:t>
            </w:r>
            <w:r w:rsidR="007E1E8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36D0229" w14:textId="23A9F7C7" w:rsidR="009A669B" w:rsidRPr="007E1E8E" w:rsidRDefault="006822BE" w:rsidP="009A669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E8E">
              <w:rPr>
                <w:rFonts w:ascii="Arial" w:hAnsi="Arial" w:cs="Arial"/>
                <w:sz w:val="18"/>
                <w:szCs w:val="18"/>
              </w:rPr>
              <w:t>Pierwotna data zakończenia projektu- 6.05.2021</w:t>
            </w:r>
          </w:p>
        </w:tc>
      </w:tr>
    </w:tbl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D55B2A5" w14:textId="39710563" w:rsidR="0072454C" w:rsidRPr="00B24D63" w:rsidRDefault="004C1D48" w:rsidP="008B1658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325D9280" w:rsidR="007677C1" w:rsidRPr="00ED63FB" w:rsidRDefault="006F24B1" w:rsidP="006F24B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82,05</w:t>
            </w:r>
            <w:r w:rsidR="00DC5F8B">
              <w:t>%</w:t>
            </w:r>
          </w:p>
        </w:tc>
        <w:tc>
          <w:tcPr>
            <w:tcW w:w="3260" w:type="dxa"/>
          </w:tcPr>
          <w:p w14:paraId="48ED1E49" w14:textId="20B3B175" w:rsidR="00DC5F8B" w:rsidRDefault="006F24B1" w:rsidP="00DC5F8B">
            <w:pPr>
              <w:pStyle w:val="Akapitzlist"/>
              <w:numPr>
                <w:ilvl w:val="0"/>
                <w:numId w:val="33"/>
              </w:numPr>
            </w:pPr>
            <w:r>
              <w:t>39,15</w:t>
            </w:r>
            <w:r w:rsidR="00DC5F8B">
              <w:t>%</w:t>
            </w:r>
            <w:r>
              <w:t xml:space="preserve"> tj. kwota 8 077 897,33 PLN</w:t>
            </w:r>
          </w:p>
          <w:p w14:paraId="4BAFA951" w14:textId="65F74CDA" w:rsidR="00DC5F8B" w:rsidRDefault="006F24B1" w:rsidP="00DC5F8B">
            <w:pPr>
              <w:pStyle w:val="Akapitzlist"/>
              <w:numPr>
                <w:ilvl w:val="0"/>
                <w:numId w:val="33"/>
              </w:numPr>
            </w:pPr>
            <w:r>
              <w:t>27,41</w:t>
            </w:r>
            <w:r w:rsidR="00DC5F8B">
              <w:t>%</w:t>
            </w:r>
            <w:r>
              <w:t xml:space="preserve"> tj. kwota 5 656 684,92 PLN</w:t>
            </w:r>
          </w:p>
          <w:p w14:paraId="57146171" w14:textId="66D8869A" w:rsidR="00B401B8" w:rsidRPr="004C797F" w:rsidRDefault="00DC5F8B" w:rsidP="00DC5F8B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 </w:t>
            </w:r>
          </w:p>
        </w:tc>
        <w:tc>
          <w:tcPr>
            <w:tcW w:w="3402" w:type="dxa"/>
          </w:tcPr>
          <w:p w14:paraId="4A16469F" w14:textId="11D7D9AB" w:rsidR="007677C1" w:rsidRPr="00ED63FB" w:rsidRDefault="006F24B1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66,25</w:t>
            </w:r>
            <w:r w:rsidR="00DC5F8B">
              <w:t>%</w:t>
            </w:r>
            <w:r>
              <w:t xml:space="preserve"> tj. kwota 13 670 142,98 PLN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156E6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6E6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823F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F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4CB3F1C2" w:rsidR="007B7647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1300525E" w:rsidR="007B7647" w:rsidRPr="00ED63FB" w:rsidRDefault="009A521B" w:rsidP="008249A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 xml:space="preserve">(Aneks z CPPC z dn. 2.12.2020 r. przedłużający projekt o 3 miesiące) 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4830E91D" w:rsidR="007B7647" w:rsidRPr="00ED63FB" w:rsidRDefault="00D53F5E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0F215DCE" w:rsidR="007B7647" w:rsidRPr="00ED63FB" w:rsidRDefault="000A6880" w:rsidP="00441F30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>
              <w:rPr>
                <w:rFonts w:ascii="Arial" w:hAnsi="Arial" w:cs="Arial"/>
                <w:sz w:val="18"/>
                <w:szCs w:val="20"/>
              </w:rPr>
              <w:t>3</w:t>
            </w:r>
            <w:r w:rsidR="00437228">
              <w:rPr>
                <w:rFonts w:ascii="Arial" w:hAnsi="Arial" w:cs="Arial"/>
                <w:sz w:val="18"/>
                <w:szCs w:val="20"/>
              </w:rPr>
              <w:t>- 4 szt</w:t>
            </w:r>
            <w:r w:rsidR="007E1E8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559" w:type="dxa"/>
          </w:tcPr>
          <w:p w14:paraId="09853F8A" w14:textId="33B59E5F" w:rsidR="007B7647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51404511" w:rsidR="007B7647" w:rsidRPr="00ED63FB" w:rsidRDefault="00A36CE1" w:rsidP="008249A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>.</w:t>
            </w:r>
            <w:r w:rsidR="00737D7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 xml:space="preserve">(Aneks z CPPC z dn. </w:t>
            </w:r>
            <w:r w:rsidR="008249A7">
              <w:rPr>
                <w:rFonts w:ascii="Arial" w:hAnsi="Arial" w:cs="Arial"/>
                <w:sz w:val="18"/>
                <w:szCs w:val="18"/>
              </w:rPr>
              <w:lastRenderedPageBreak/>
              <w:t>2.12.2020 r. przedłużający projekt o 3 miesiące)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1EAE74AD" w:rsidR="007B7647" w:rsidRPr="00ED63FB" w:rsidRDefault="00853E17" w:rsidP="00732D68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ED63FB">
              <w:rPr>
                <w:rFonts w:ascii="Arial" w:hAnsi="Arial" w:cs="Arial"/>
                <w:sz w:val="18"/>
                <w:szCs w:val="20"/>
              </w:rPr>
              <w:t>4 300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Pr="00ED63FB">
              <w:rPr>
                <w:rFonts w:ascii="Arial" w:hAnsi="Arial" w:cs="Arial"/>
                <w:sz w:val="18"/>
                <w:szCs w:val="20"/>
              </w:rPr>
              <w:t>000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4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</w:t>
            </w:r>
            <w:r w:rsidR="00437228">
              <w:rPr>
                <w:rFonts w:ascii="Arial" w:hAnsi="Arial" w:cs="Arial"/>
                <w:sz w:val="18"/>
                <w:szCs w:val="20"/>
              </w:rPr>
              <w:t>.</w:t>
            </w:r>
            <w:r w:rsidR="00FC3149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KPI</w:t>
            </w:r>
            <w:r w:rsidR="00FC314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32D68">
              <w:rPr>
                <w:rFonts w:ascii="Arial" w:hAnsi="Arial" w:cs="Arial"/>
                <w:sz w:val="18"/>
                <w:szCs w:val="20"/>
              </w:rPr>
              <w:t>5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3149" w:rsidRPr="00ED63FB">
              <w:rPr>
                <w:rFonts w:ascii="Arial" w:hAnsi="Arial" w:cs="Arial"/>
                <w:sz w:val="18"/>
                <w:szCs w:val="20"/>
              </w:rPr>
              <w:t>2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="00FC3149" w:rsidRPr="00ED63FB">
              <w:rPr>
                <w:rFonts w:ascii="Arial" w:hAnsi="Arial" w:cs="Arial"/>
                <w:sz w:val="18"/>
                <w:szCs w:val="20"/>
              </w:rPr>
              <w:t>538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</w:tc>
        <w:tc>
          <w:tcPr>
            <w:tcW w:w="1559" w:type="dxa"/>
          </w:tcPr>
          <w:p w14:paraId="1596C3AD" w14:textId="193E7942" w:rsidR="007B7647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2EDA4ECF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51B08B2" w:rsidR="00CB6849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9299C5C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176BE769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D53F5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6B0C9B0A" w:rsidR="00CB6849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15AE445B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11E240FB" w:rsidR="009F5B24" w:rsidRPr="00ED63FB" w:rsidRDefault="005E475A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2268" w:type="dxa"/>
          </w:tcPr>
          <w:p w14:paraId="2AD698A1" w14:textId="3AB49069" w:rsidR="005E6DDE" w:rsidRPr="00ED63FB" w:rsidRDefault="00CB6849" w:rsidP="005E6DDE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50F2D444" w:rsidR="0072454C" w:rsidRPr="00ED63FB" w:rsidRDefault="005E475A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04B6C4FD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47555E92" w:rsidR="0072454C" w:rsidRPr="00ED63FB" w:rsidRDefault="005E475A" w:rsidP="005B2483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5B2483">
              <w:rPr>
                <w:rFonts w:ascii="Arial" w:hAnsi="Arial" w:cs="Arial"/>
                <w:sz w:val="18"/>
                <w:szCs w:val="20"/>
              </w:rPr>
              <w:t>- O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późnienie w</w:t>
            </w:r>
            <w:r w:rsidR="005B2483">
              <w:rPr>
                <w:rFonts w:ascii="Arial" w:hAnsi="Arial" w:cs="Arial"/>
                <w:sz w:val="18"/>
                <w:szCs w:val="20"/>
              </w:rPr>
              <w:t>ynika ze zbyt późnego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B2483">
              <w:rPr>
                <w:rFonts w:ascii="Arial" w:hAnsi="Arial" w:cs="Arial"/>
                <w:sz w:val="18"/>
                <w:szCs w:val="20"/>
              </w:rPr>
              <w:t>dostarczenia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 xml:space="preserve"> zespołu p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rogramistycznego z </w:t>
            </w:r>
            <w:proofErr w:type="spellStart"/>
            <w:r w:rsidR="005B2483">
              <w:rPr>
                <w:rFonts w:ascii="Arial" w:hAnsi="Arial" w:cs="Arial"/>
                <w:sz w:val="18"/>
                <w:szCs w:val="20"/>
              </w:rPr>
              <w:t>bodylesing</w:t>
            </w:r>
            <w:proofErr w:type="spellEnd"/>
            <w:r w:rsidR="005B2483">
              <w:rPr>
                <w:rFonts w:ascii="Arial" w:hAnsi="Arial" w:cs="Arial"/>
                <w:sz w:val="18"/>
                <w:szCs w:val="20"/>
              </w:rPr>
              <w:t>. Dodatkowo, z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espół, który miał pracować wspólnie w jednej lokalizacji z powodu wybuchu pandemii COVID-19 musiał rozpocząć pracę zdalną, co dodatkowo spowolniło ich pracę.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Na to nałożyły się opóźnienia w dostarczeniu próbek danych testowych z systemów źró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lastRenderedPageBreak/>
              <w:t>dłowych, co uniemożliwiło rozpoczęcie prac nad wszystkimi API</w:t>
            </w:r>
            <w:r w:rsidR="005B248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49953255" w:rsidR="0072454C" w:rsidRPr="00ED63FB" w:rsidRDefault="005E475A" w:rsidP="007245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682B8CD9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3EDA7D76" w:rsidTr="00047D9D">
        <w:tc>
          <w:tcPr>
            <w:tcW w:w="2545" w:type="dxa"/>
          </w:tcPr>
          <w:p w14:paraId="529C36D0" w14:textId="1DB53ECD" w:rsidR="0072454C" w:rsidRPr="005E475A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4D370D4C" w:rsidR="0072454C" w:rsidRPr="005E475A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4801F9" w14:textId="044AE5C3" w:rsidR="0072454C" w:rsidRPr="005E475A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485D275B" w:rsidR="00947606" w:rsidRPr="005E475A" w:rsidRDefault="00947606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627749" w14:textId="12DFCBD3" w:rsidR="0072454C" w:rsidRPr="005E475A" w:rsidRDefault="00CB6849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2E9B115B" w:rsidR="00947606" w:rsidRPr="005E475A" w:rsidRDefault="00947606" w:rsidP="0072454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86905D" w14:textId="47FDBAA4" w:rsidR="0072454C" w:rsidRPr="005E475A" w:rsidRDefault="005E475A" w:rsidP="0072454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</w:t>
            </w:r>
            <w:r w:rsidR="00737D79"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B6849"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</w:p>
          <w:p w14:paraId="2C5D07B8" w14:textId="421FD546" w:rsidR="0072454C" w:rsidRPr="005E475A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41A3AAC1" w:rsidR="0072454C" w:rsidRPr="005E475A" w:rsidRDefault="00CB6849" w:rsidP="00F876F0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6723CC1" w:rsidR="0072454C" w:rsidRPr="00ED63FB" w:rsidRDefault="005E475A" w:rsidP="007245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1D61904B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08A22A24" w:rsidR="00C74A50" w:rsidRPr="00ED63FB" w:rsidRDefault="00BE36AF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B734D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559052B" w14:textId="77777777" w:rsidR="00BE36AF" w:rsidRDefault="00BE36AF" w:rsidP="00ED63FB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  <w:p w14:paraId="514FEE31" w14:textId="232836D6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A3F2CAA" w14:textId="3B018B63" w:rsidR="00E424D9" w:rsidRPr="008E39F7" w:rsidRDefault="00732F4C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Planowana data zakończenia</w:t>
            </w:r>
          </w:p>
          <w:p w14:paraId="454D2669" w14:textId="48DD64D1" w:rsidR="00E424D9" w:rsidRPr="008E39F7" w:rsidRDefault="00425D8F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08</w:t>
            </w:r>
            <w:r w:rsidR="00E424D9" w:rsidRPr="008E39F7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="00FB20C6" w:rsidRPr="008E39F7">
              <w:rPr>
                <w:rFonts w:ascii="Arial" w:hAnsi="Arial" w:cs="Arial"/>
                <w:bCs/>
                <w:sz w:val="18"/>
                <w:szCs w:val="20"/>
              </w:rPr>
              <w:t>2021</w:t>
            </w:r>
          </w:p>
          <w:p w14:paraId="44085C96" w14:textId="1402641E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ED63FB" w14:paraId="4D375214" w14:textId="77777777" w:rsidTr="001E64F8">
        <w:tc>
          <w:tcPr>
            <w:tcW w:w="2268" w:type="dxa"/>
          </w:tcPr>
          <w:p w14:paraId="2D70E75D" w14:textId="0E7D8FD5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</w:t>
            </w:r>
            <w:r w:rsidR="00505A4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4FC6F0F7" w:rsidR="006A23D7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90DDD86" w14:textId="3C959B26" w:rsidR="00435059" w:rsidRDefault="00317794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>Intensyfikacja działań, które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docelowo pozwolą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na nowy model raportowania czasu pracy przez zespół BL (jedna JIRA)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57BE61B" w14:textId="4D3674E9" w:rsidR="00435059" w:rsidRPr="001E64F8" w:rsidRDefault="00441F30" w:rsidP="009D50C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9D50CE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</w:t>
            </w:r>
            <w:bookmarkStart w:id="1" w:name="_GoBack"/>
            <w:bookmarkEnd w:id="1"/>
            <w:r w:rsidR="009D50CE">
              <w:rPr>
                <w:rFonts w:ascii="Arial" w:hAnsi="Arial" w:cs="Arial"/>
                <w:color w:val="000000"/>
                <w:sz w:val="18"/>
                <w:szCs w:val="18"/>
              </w:rPr>
              <w:t xml:space="preserve"> w stosunku do poprzedniego okresu sprawozdawczego.</w:t>
            </w:r>
          </w:p>
        </w:tc>
      </w:tr>
      <w:tr w:rsidR="00E977FB" w:rsidRPr="00ED63FB" w14:paraId="64069AAA" w14:textId="77777777" w:rsidTr="001E64F8">
        <w:tc>
          <w:tcPr>
            <w:tcW w:w="2268" w:type="dxa"/>
          </w:tcPr>
          <w:p w14:paraId="27928421" w14:textId="616BEB8E" w:rsidR="00E977FB" w:rsidRPr="00C059A7" w:rsidRDefault="00E977F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Perspektywa braku środków na  zespół Body Leasing</w:t>
            </w:r>
          </w:p>
        </w:tc>
        <w:tc>
          <w:tcPr>
            <w:tcW w:w="1418" w:type="dxa"/>
          </w:tcPr>
          <w:p w14:paraId="3AE3A827" w14:textId="0EA84880" w:rsidR="00E977FB" w:rsidRDefault="002860E1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4AB6A28E" w14:textId="69C7BD5A" w:rsidR="00E977FB" w:rsidRDefault="002860E1" w:rsidP="00E9201D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  <w:r w:rsidR="00545B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6" w:type="dxa"/>
          </w:tcPr>
          <w:p w14:paraId="50614AB4" w14:textId="0910417F" w:rsidR="00E977FB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>Oszacowano potencjalne zwiększone koszty, przeanalizowano HRF pod kątem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możliwych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przesunięć, przeprowadzono s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potkanie z CPPC na którym zasyg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lizowano 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przyszłą koniecznością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zmian (po ustaleniu kluczowej kwestii dotyczącej Hostingu)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HRF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Plan: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przesunięcia z Zadań związanych z Hostingiem, Konferencjami, Szkoleniami na zespół BL)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rozstrzygnięci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kwestii Hostingu i uzyskani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zgody CPPC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nastąpi aktualizacja HRF pod kątem przesunięć środków.</w:t>
            </w:r>
          </w:p>
          <w:p w14:paraId="0DDB36C0" w14:textId="104ADB44" w:rsidR="00FB3056" w:rsidRDefault="00441F30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edukcja funkcjonalności przez wdrożenie oceny </w:t>
            </w:r>
            <w:proofErr w:type="spellStart"/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MoSCoW</w:t>
            </w:r>
            <w:proofErr w:type="spellEnd"/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31779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317794">
              <w:rPr>
                <w:rFonts w:ascii="Arial" w:hAnsi="Arial" w:cs="Arial"/>
                <w:color w:val="000000"/>
                <w:sz w:val="18"/>
                <w:szCs w:val="18"/>
              </w:rPr>
              <w:t>edukcja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zespołu analitycznego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B86F8E0" w14:textId="7A3F94E5" w:rsidR="00435059" w:rsidRDefault="00441F30" w:rsidP="00BE36A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</w:t>
            </w:r>
            <w:r w:rsidR="00BE36AF">
              <w:rPr>
                <w:rFonts w:ascii="Arial" w:hAnsi="Arial" w:cs="Arial"/>
                <w:color w:val="000000"/>
                <w:sz w:val="18"/>
                <w:szCs w:val="18"/>
              </w:rPr>
              <w:t>Ryzyko zamknięte, CPPC wyraziło zgodę na przesunięcie kwoty na BL zapewniającej finansowanie zespołu do końca trwania projektu (zgoda z dnia 16.12.2020 r.)</w:t>
            </w:r>
          </w:p>
        </w:tc>
      </w:tr>
      <w:tr w:rsidR="00916E83" w:rsidRPr="00ED63FB" w14:paraId="364E4CC5" w14:textId="77777777" w:rsidTr="001E64F8">
        <w:tc>
          <w:tcPr>
            <w:tcW w:w="2268" w:type="dxa"/>
          </w:tcPr>
          <w:p w14:paraId="68E5A6A9" w14:textId="5FC15B54" w:rsidR="00916E83" w:rsidRPr="005C0A9F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0A9F">
              <w:rPr>
                <w:rFonts w:ascii="Arial" w:hAnsi="Arial" w:cs="Arial"/>
                <w:sz w:val="18"/>
                <w:szCs w:val="18"/>
              </w:rPr>
              <w:lastRenderedPageBreak/>
              <w:t xml:space="preserve">Zwiększona kwota na </w:t>
            </w:r>
            <w:r w:rsidR="005C0A9F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6488F26C" w14:textId="45419C3B" w:rsidR="00916E83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Działanie: W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ystąpiono do Wykonawcy o przesłanie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D26CE78" w14:textId="31F06D4A" w:rsidR="00317794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uzasadnienie biznesowe</w:t>
            </w:r>
          </w:p>
          <w:p w14:paraId="1D2883A0" w14:textId="1F58CFC0" w:rsidR="00435059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C059A7" w:rsidRPr="00ED63FB" w14:paraId="5F233B36" w14:textId="77777777" w:rsidTr="001E64F8">
        <w:tc>
          <w:tcPr>
            <w:tcW w:w="2268" w:type="dxa"/>
          </w:tcPr>
          <w:p w14:paraId="28F8D861" w14:textId="46D6AF4C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Ograniczona dostępność roli Kierownik Techniczny Projektu KRONIK@ SB.SA</w:t>
            </w:r>
          </w:p>
        </w:tc>
        <w:tc>
          <w:tcPr>
            <w:tcW w:w="1418" w:type="dxa"/>
          </w:tcPr>
          <w:p w14:paraId="6D91C08D" w14:textId="3EBD73EE" w:rsidR="00C059A7" w:rsidRDefault="002860E1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0B94CDB9" w14:textId="51DCD540" w:rsidR="00C059A7" w:rsidRDefault="002860E1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4F2EEDB0" w14:textId="3DF26321" w:rsidR="005C2E96" w:rsidRDefault="00317794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Egzekucja zapisów dotyczących umowy z S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oft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lue.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SA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kwestii zastępstwa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647FF82" w14:textId="77777777" w:rsidR="008B1C9A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rzejęcie przez KP/Product </w:t>
            </w:r>
            <w:proofErr w:type="spellStart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Ownera</w:t>
            </w:r>
            <w:proofErr w:type="spellEnd"/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części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zadań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stopniu pozwalającym na kontynuowanie prac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zespół SCRUM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6A4E648" w14:textId="7F5A749F" w:rsidR="00C059A7" w:rsidRPr="001E64F8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BE36AF"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 Ryzyko zamknięte.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4F04E7F3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6E2ADC48" w:rsidR="001E64F8" w:rsidRPr="001E64F8" w:rsidRDefault="002860E1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7F34B9E5" w14:textId="7E6FDCC9" w:rsidR="001E64F8" w:rsidRPr="001E64F8" w:rsidRDefault="002860E1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37127A1E" w14:textId="18E3E262" w:rsidR="005D4839" w:rsidRDefault="008B1C9A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Umowa na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(BL)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. S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A6543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3F5BB33" w14:textId="44DBE77F" w:rsidR="00C816CF" w:rsidRDefault="008B1C9A" w:rsidP="00FB20C6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w wyniku rekrutacji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pozyskano nowe role, m.in.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722E">
              <w:rPr>
                <w:rFonts w:ascii="Arial" w:hAnsi="Arial" w:cs="Arial"/>
                <w:color w:val="000000"/>
                <w:sz w:val="18"/>
                <w:szCs w:val="18"/>
              </w:rPr>
              <w:t xml:space="preserve">BL: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UX/Grafik i Tester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4CC8A11" w14:textId="526B461D" w:rsidR="00435059" w:rsidRPr="001E64F8" w:rsidRDefault="008B1C9A" w:rsidP="00FB20C6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2860E1"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 Ryzyko zamknięte.</w:t>
            </w:r>
          </w:p>
        </w:tc>
      </w:tr>
      <w:tr w:rsidR="003E4CBD" w:rsidRPr="00ED63FB" w14:paraId="4EADF24A" w14:textId="77777777" w:rsidTr="001E64F8">
        <w:tc>
          <w:tcPr>
            <w:tcW w:w="2268" w:type="dxa"/>
          </w:tcPr>
          <w:p w14:paraId="13F6FF1B" w14:textId="4EAC416B" w:rsidR="003E4CBD" w:rsidRPr="00A22AF9" w:rsidRDefault="003E4CB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SCRUM</w:t>
            </w:r>
          </w:p>
        </w:tc>
        <w:tc>
          <w:tcPr>
            <w:tcW w:w="1418" w:type="dxa"/>
          </w:tcPr>
          <w:p w14:paraId="05A56968" w14:textId="367BF5E9" w:rsidR="003E4CBD" w:rsidRDefault="002860E1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126" w:type="dxa"/>
          </w:tcPr>
          <w:p w14:paraId="35C96FE8" w14:textId="349A49E3" w:rsidR="003E4CBD" w:rsidRDefault="002860E1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2DE2C7F9" w14:textId="77DFCE06" w:rsidR="003E4CBD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Działanie: Od 12.01.2020 n</w:t>
            </w:r>
            <w:r w:rsidR="003E4CBD">
              <w:rPr>
                <w:rFonts w:ascii="Arial" w:hAnsi="Arial" w:cs="Arial"/>
                <w:sz w:val="18"/>
                <w:szCs w:val="18"/>
              </w:rPr>
              <w:t>astąpiła zmiana organizacji pracy zespołu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– dołączył zespół developerski i </w:t>
            </w:r>
            <w:proofErr w:type="spellStart"/>
            <w:r w:rsidR="00E5722E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E5722E">
              <w:rPr>
                <w:rFonts w:ascii="Arial" w:hAnsi="Arial" w:cs="Arial"/>
                <w:sz w:val="18"/>
                <w:szCs w:val="18"/>
              </w:rPr>
              <w:t xml:space="preserve"> Master</w:t>
            </w:r>
            <w:r w:rsidR="003E4CBD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Po kilku próbach, zrekrutowano osoby z BL, - dzięki temu zespół SCRUM jest kompletny. Niestety ze względu na fakt, że punktem odniesienia jest Projekt techniczny a nie dokument wypracowany przez zespół SCRUM, nie można mówić o prowadzeniu projektu zgodnie z pryncypiami SCRUM</w:t>
            </w:r>
          </w:p>
          <w:p w14:paraId="05456671" w14:textId="5FEFB75C" w:rsidR="003E4CBD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wprowadzenie pracy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scrumowej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zespole wytwórczym. </w:t>
            </w:r>
          </w:p>
          <w:p w14:paraId="0BD6E8CF" w14:textId="75144EFB" w:rsidR="00435059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Zmiana: </w:t>
            </w:r>
            <w:r w:rsidR="002860E1">
              <w:rPr>
                <w:rFonts w:ascii="Arial" w:hAnsi="Arial" w:cs="Arial"/>
                <w:color w:val="000000"/>
                <w:sz w:val="18"/>
                <w:szCs w:val="18"/>
              </w:rPr>
              <w:t xml:space="preserve">Nastąpiła zmiana ryzyka w stosunku do poprzedniego okresu sprawozdawczego. Ryzyko zamknięte. W zespole wytwórczym wprowadzono pracę </w:t>
            </w:r>
            <w:proofErr w:type="spellStart"/>
            <w:r w:rsidR="002860E1">
              <w:rPr>
                <w:rFonts w:ascii="Arial" w:hAnsi="Arial" w:cs="Arial"/>
                <w:color w:val="000000"/>
                <w:sz w:val="18"/>
                <w:szCs w:val="18"/>
              </w:rPr>
              <w:t>scrumową</w:t>
            </w:r>
            <w:proofErr w:type="spellEnd"/>
            <w:r w:rsidR="002860E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214CC" w:rsidRPr="00ED63FB" w14:paraId="36E122D8" w14:textId="77777777" w:rsidTr="001E64F8">
        <w:tc>
          <w:tcPr>
            <w:tcW w:w="2268" w:type="dxa"/>
          </w:tcPr>
          <w:p w14:paraId="70BCA43A" w14:textId="0D716B59" w:rsidR="005214CC" w:rsidRPr="00A22AF9" w:rsidRDefault="005214CC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14C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sprzętu komputerowego</w:t>
            </w:r>
          </w:p>
        </w:tc>
        <w:tc>
          <w:tcPr>
            <w:tcW w:w="1418" w:type="dxa"/>
          </w:tcPr>
          <w:p w14:paraId="0FF534A4" w14:textId="3E0E5CC8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4CF13CE3" w14:textId="035D3EE7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Zmaterializowane</w:t>
            </w:r>
          </w:p>
        </w:tc>
        <w:tc>
          <w:tcPr>
            <w:tcW w:w="3686" w:type="dxa"/>
          </w:tcPr>
          <w:p w14:paraId="668D1E27" w14:textId="32309830" w:rsidR="005214CC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C0A9F">
              <w:rPr>
                <w:rFonts w:ascii="Arial" w:hAnsi="Arial" w:cs="Arial"/>
                <w:sz w:val="18"/>
                <w:szCs w:val="18"/>
              </w:rPr>
              <w:t xml:space="preserve">Oczekiwanie </w:t>
            </w:r>
            <w:r w:rsidR="005214CC">
              <w:rPr>
                <w:rFonts w:ascii="Arial" w:hAnsi="Arial" w:cs="Arial"/>
                <w:sz w:val="18"/>
                <w:szCs w:val="18"/>
              </w:rPr>
              <w:t xml:space="preserve">na realizację zakupów IT/BDG. Środki zabezpieczone od 2019. </w:t>
            </w:r>
            <w:r>
              <w:rPr>
                <w:rFonts w:ascii="Arial" w:hAnsi="Arial" w:cs="Arial"/>
                <w:sz w:val="18"/>
                <w:szCs w:val="18"/>
              </w:rPr>
              <w:t>Prośba o użyczenie sprzętu od Britenet.</w:t>
            </w:r>
          </w:p>
          <w:p w14:paraId="2995D3F3" w14:textId="5A8781DD" w:rsidR="005214CC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F1614F" w:rsidRPr="00C85353">
              <w:rPr>
                <w:rFonts w:ascii="Arial" w:hAnsi="Arial" w:cs="Arial"/>
                <w:sz w:val="18"/>
                <w:szCs w:val="18"/>
              </w:rPr>
              <w:t>Sprzęt użyczony przez Wykonawcę zapewniającego zespół BL</w:t>
            </w:r>
            <w:r>
              <w:rPr>
                <w:rFonts w:ascii="Arial" w:hAnsi="Arial" w:cs="Arial"/>
                <w:sz w:val="18"/>
                <w:szCs w:val="18"/>
              </w:rPr>
              <w:t>- Britenet</w:t>
            </w:r>
            <w:r w:rsidR="00F1614F" w:rsidRPr="00C8535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DB9AAFA" w14:textId="7E23D12B" w:rsidR="0043505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A22AF9" w:rsidRPr="00ED63FB" w14:paraId="5012985F" w14:textId="77777777" w:rsidTr="001E64F8">
        <w:tc>
          <w:tcPr>
            <w:tcW w:w="2268" w:type="dxa"/>
          </w:tcPr>
          <w:p w14:paraId="113D7F98" w14:textId="237FE0E9" w:rsidR="00A22AF9" w:rsidRPr="00B02B1B" w:rsidRDefault="00CB588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 w</w:t>
            </w:r>
            <w:r w:rsidR="00A22AF9" w:rsidRPr="00A22AF9">
              <w:rPr>
                <w:rFonts w:ascii="Arial" w:hAnsi="Arial" w:cs="Arial"/>
                <w:color w:val="000000"/>
                <w:sz w:val="18"/>
                <w:szCs w:val="18"/>
              </w:rPr>
              <w:t>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74E25727" w:rsidR="00A22AF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85FA8">
              <w:rPr>
                <w:rFonts w:ascii="Arial" w:hAnsi="Arial" w:cs="Arial"/>
                <w:sz w:val="18"/>
                <w:szCs w:val="18"/>
              </w:rPr>
              <w:t>O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kreślenie podziału pomiędzy rolą Product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(PO) a Kierownika Technicznego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8E4314" w14:textId="2BA9A887" w:rsidR="00A22AF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585FA8">
              <w:rPr>
                <w:rFonts w:ascii="Arial" w:hAnsi="Arial" w:cs="Arial"/>
                <w:sz w:val="18"/>
                <w:szCs w:val="18"/>
              </w:rPr>
              <w:t>W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spółpraca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Mastera z PO i włącz</w:t>
            </w:r>
            <w:r w:rsidR="003E4CBD">
              <w:rPr>
                <w:rFonts w:ascii="Arial" w:hAnsi="Arial" w:cs="Arial"/>
                <w:sz w:val="18"/>
                <w:szCs w:val="18"/>
              </w:rPr>
              <w:t>e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nie PO do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  <w:p w14:paraId="223B17F3" w14:textId="3640F77D" w:rsidR="0043505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435059">
        <w:trPr>
          <w:trHeight w:val="3711"/>
        </w:trPr>
        <w:tc>
          <w:tcPr>
            <w:tcW w:w="2268" w:type="dxa"/>
          </w:tcPr>
          <w:p w14:paraId="4E8106A2" w14:textId="6EEB89C3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2A24ECC4" w:rsidR="00B02B1B" w:rsidRPr="00B02B1B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08607614" w14:textId="15539C4C" w:rsidR="005D4839" w:rsidRDefault="008138E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 w:rsidR="008D358F"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 w:rsidR="008D358F">
              <w:rPr>
                <w:rFonts w:ascii="Arial" w:hAnsi="Arial" w:cs="Arial"/>
                <w:sz w:val="18"/>
                <w:szCs w:val="18"/>
              </w:rPr>
              <w:t xml:space="preserve"> Intensyfikacja procesów rekrutacyjnych. </w:t>
            </w:r>
          </w:p>
          <w:p w14:paraId="58BB27A3" w14:textId="4CFD4575" w:rsidR="00383FCD" w:rsidRDefault="008138ED" w:rsidP="005214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83FCD">
              <w:rPr>
                <w:rFonts w:ascii="Arial" w:hAnsi="Arial" w:cs="Arial"/>
                <w:sz w:val="18"/>
                <w:szCs w:val="18"/>
              </w:rPr>
              <w:t xml:space="preserve">CPPC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przyjęło do wiadomości </w:t>
            </w:r>
            <w:r w:rsidR="00383FCD">
              <w:rPr>
                <w:rFonts w:ascii="Arial" w:hAnsi="Arial" w:cs="Arial"/>
                <w:sz w:val="18"/>
                <w:szCs w:val="18"/>
              </w:rPr>
              <w:t xml:space="preserve"> przesunięcie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="00383FCD">
              <w:rPr>
                <w:rFonts w:ascii="Arial" w:hAnsi="Arial" w:cs="Arial"/>
                <w:sz w:val="18"/>
                <w:szCs w:val="18"/>
              </w:rPr>
              <w:t>uruchomieni</w:t>
            </w:r>
            <w:r w:rsidR="00B51F41">
              <w:rPr>
                <w:rFonts w:ascii="Arial" w:hAnsi="Arial" w:cs="Arial"/>
                <w:sz w:val="18"/>
                <w:szCs w:val="18"/>
              </w:rPr>
              <w:t>e</w:t>
            </w:r>
            <w:r w:rsidR="00435059">
              <w:rPr>
                <w:rFonts w:ascii="Arial" w:hAnsi="Arial" w:cs="Arial"/>
                <w:sz w:val="18"/>
                <w:szCs w:val="18"/>
              </w:rPr>
              <w:t xml:space="preserve"> portalu na 17.12.2020</w:t>
            </w:r>
          </w:p>
          <w:p w14:paraId="7C797BE6" w14:textId="363A8BEF" w:rsidR="00435059" w:rsidRPr="00B02B1B" w:rsidRDefault="008138ED" w:rsidP="005214CC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2860E1"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860E1">
              <w:rPr>
                <w:rFonts w:ascii="Arial" w:hAnsi="Arial" w:cs="Arial"/>
                <w:sz w:val="18"/>
                <w:szCs w:val="18"/>
              </w:rPr>
              <w:t xml:space="preserve"> Podpisano aneks z CPPC 2.12.2020 r. przedłużający projekt oraz KM 3 miesiące.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19893B16" w:rsidR="001E64F8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7FF7C74E" w:rsidR="00C11930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C11930"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BA4C321" w:rsidR="00C816CF" w:rsidRPr="001E64F8" w:rsidRDefault="008138E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16CF51D8" w:rsidR="001E64F8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3321E92D" w:rsidR="003B1BCE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80AD67C" w:rsidR="003B1BCE" w:rsidRPr="001E64F8" w:rsidRDefault="008138ED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1BA3A544" w:rsidR="001E64F8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4193F358" w:rsidR="003B1BCE" w:rsidRDefault="000D097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2A3083C7" w:rsidR="00C816CF" w:rsidRPr="001E64F8" w:rsidRDefault="000D097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9ADE4F0" w14:textId="77777777" w:rsidR="0096047B" w:rsidRDefault="000D0978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</w:t>
            </w:r>
            <w:r w:rsidR="0096047B">
              <w:rPr>
                <w:rFonts w:ascii="Arial" w:hAnsi="Arial" w:cs="Arial"/>
                <w:color w:val="000000"/>
                <w:sz w:val="18"/>
                <w:szCs w:val="18"/>
              </w:rPr>
              <w:t>zedmiotu zamówienia.</w:t>
            </w:r>
          </w:p>
          <w:p w14:paraId="0CD9FEDB" w14:textId="539B450A" w:rsidR="00295A93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Efekty: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Planowanie odpowiednich rezerw czasowych dla postępowań przetargowych. Opracowywanie dokumentacji przetargowych, które minimalizować będą liczbę protestów i odwołań.</w:t>
            </w:r>
          </w:p>
          <w:p w14:paraId="5E7DE311" w14:textId="506EC0BE" w:rsidR="00C816CF" w:rsidRPr="001E64F8" w:rsidRDefault="0096047B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464F41A0" w:rsidR="00295A93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19F60A6E" w:rsidR="00D3271E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166F4D42" w:rsidR="00C816CF" w:rsidRPr="001E64F8" w:rsidRDefault="0096047B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F592315" w14:textId="77777777" w:rsidR="006A23D7" w:rsidRDefault="006A23D7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5D9F607C" w:rsidR="00295A93" w:rsidRDefault="0096047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3B364703" w14:textId="17F9C10E" w:rsidR="003B1BCE" w:rsidRDefault="0096047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6E6B0E"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0C3B"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736C8C6" w:rsidR="00C816CF" w:rsidRPr="001E64F8" w:rsidRDefault="0096047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ED63F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60723" w14:textId="77777777" w:rsidR="00AA2C57" w:rsidRDefault="00AA2C57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ntencyjnych z interesariuszami.</w:t>
            </w:r>
          </w:p>
          <w:p w14:paraId="43C59822" w14:textId="77777777" w:rsidR="00295A93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Efekty: </w:t>
            </w:r>
            <w:r w:rsidR="00295A93" w:rsidRPr="00295A93">
              <w:rPr>
                <w:rFonts w:ascii="Arial" w:hAnsi="Arial" w:cs="Arial"/>
                <w:color w:val="000000"/>
                <w:sz w:val="18"/>
                <w:szCs w:val="18"/>
              </w:rPr>
              <w:t>określenie zakresu programu, wskazując na obszary pozostające w gestii dotychczasowych beneficjentów, wynikające z podpisanych listów intencyjnych. Działania informacyjno-promocyjne.</w:t>
            </w:r>
          </w:p>
          <w:p w14:paraId="06EACCEE" w14:textId="54792EF8" w:rsidR="00AA2C57" w:rsidRPr="00295A93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91332C" w:rsidRPr="00ED63F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A0CB8D5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13D20FC9" w14:textId="77777777" w:rsidR="00C34B98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965521"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65521"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E783364" w14:textId="77777777" w:rsidR="00AA2C57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309763D5" w14:textId="7E317E53" w:rsidR="00AA2C57" w:rsidRPr="00ED63FB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14:paraId="39B1851A" w14:textId="74586542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02634A7E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1578E5">
        <w:rPr>
          <w:rFonts w:ascii="Arial" w:hAnsi="Arial" w:cs="Arial"/>
          <w:sz w:val="24"/>
          <w:szCs w:val="24"/>
        </w:rPr>
        <w:t>Kamila Pendyk</w:t>
      </w:r>
      <w:r w:rsidR="00281B0C" w:rsidRPr="00C478F4">
        <w:rPr>
          <w:rFonts w:ascii="Arial" w:hAnsi="Arial" w:cs="Arial"/>
          <w:sz w:val="24"/>
          <w:szCs w:val="24"/>
        </w:rPr>
        <w:t xml:space="preserve">, </w:t>
      </w:r>
      <w:r w:rsidR="00237311" w:rsidRPr="00C478F4">
        <w:rPr>
          <w:rFonts w:ascii="Arial" w:hAnsi="Arial" w:cs="Arial"/>
          <w:sz w:val="24"/>
          <w:szCs w:val="24"/>
        </w:rPr>
        <w:t xml:space="preserve">DZD </w:t>
      </w:r>
      <w:r w:rsidR="00281B0C" w:rsidRPr="00C478F4">
        <w:rPr>
          <w:rFonts w:ascii="Arial" w:hAnsi="Arial" w:cs="Arial"/>
          <w:sz w:val="24"/>
          <w:szCs w:val="24"/>
        </w:rPr>
        <w:t xml:space="preserve">– </w:t>
      </w:r>
      <w:hyperlink r:id="rId8" w:history="1">
        <w:r w:rsidR="001578E5" w:rsidRPr="00185AED">
          <w:rPr>
            <w:rStyle w:val="Hipercze"/>
            <w:rFonts w:ascii="Arial" w:hAnsi="Arial" w:cs="Arial"/>
            <w:sz w:val="24"/>
            <w:szCs w:val="24"/>
          </w:rPr>
          <w:t>Kamila.Pendyk@mc.gov.pl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9CC07" w14:textId="77777777" w:rsidR="004D18CD" w:rsidRDefault="004D18CD" w:rsidP="00BB2420">
      <w:pPr>
        <w:spacing w:after="0" w:line="240" w:lineRule="auto"/>
      </w:pPr>
      <w:r>
        <w:separator/>
      </w:r>
    </w:p>
  </w:endnote>
  <w:endnote w:type="continuationSeparator" w:id="0">
    <w:p w14:paraId="187A7019" w14:textId="77777777" w:rsidR="004D18CD" w:rsidRDefault="004D18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30E9D6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50C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375EE">
              <w:rPr>
                <w:b/>
                <w:bCs/>
                <w:noProof/>
              </w:rPr>
              <w:t>10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0771E" w14:textId="77777777" w:rsidR="004D18CD" w:rsidRDefault="004D18CD" w:rsidP="00BB2420">
      <w:pPr>
        <w:spacing w:after="0" w:line="240" w:lineRule="auto"/>
      </w:pPr>
      <w:r>
        <w:separator/>
      </w:r>
    </w:p>
  </w:footnote>
  <w:footnote w:type="continuationSeparator" w:id="0">
    <w:p w14:paraId="705F9ACB" w14:textId="77777777" w:rsidR="004D18CD" w:rsidRDefault="004D18CD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461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0108"/>
    <w:rsid w:val="00014792"/>
    <w:rsid w:val="00014E72"/>
    <w:rsid w:val="00016907"/>
    <w:rsid w:val="00017727"/>
    <w:rsid w:val="00021588"/>
    <w:rsid w:val="0002556F"/>
    <w:rsid w:val="00026D1D"/>
    <w:rsid w:val="00027D5D"/>
    <w:rsid w:val="000317FB"/>
    <w:rsid w:val="000375EE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A6880"/>
    <w:rsid w:val="000B2813"/>
    <w:rsid w:val="000B3E49"/>
    <w:rsid w:val="000C55C2"/>
    <w:rsid w:val="000C65FB"/>
    <w:rsid w:val="000C694B"/>
    <w:rsid w:val="000D0978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55A55"/>
    <w:rsid w:val="001578E5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3653"/>
    <w:rsid w:val="0022635B"/>
    <w:rsid w:val="00231D53"/>
    <w:rsid w:val="00237279"/>
    <w:rsid w:val="00237311"/>
    <w:rsid w:val="00240D69"/>
    <w:rsid w:val="00241B5E"/>
    <w:rsid w:val="0024679D"/>
    <w:rsid w:val="00252087"/>
    <w:rsid w:val="002539D3"/>
    <w:rsid w:val="002553C7"/>
    <w:rsid w:val="0026061E"/>
    <w:rsid w:val="00263FB4"/>
    <w:rsid w:val="00276C00"/>
    <w:rsid w:val="00277819"/>
    <w:rsid w:val="00281B0C"/>
    <w:rsid w:val="002860E1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17794"/>
    <w:rsid w:val="003221F2"/>
    <w:rsid w:val="00322614"/>
    <w:rsid w:val="00324CA6"/>
    <w:rsid w:val="00325E8B"/>
    <w:rsid w:val="00334A24"/>
    <w:rsid w:val="003355F5"/>
    <w:rsid w:val="003410FE"/>
    <w:rsid w:val="00346588"/>
    <w:rsid w:val="003508E7"/>
    <w:rsid w:val="00352859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5D2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25D8F"/>
    <w:rsid w:val="00432547"/>
    <w:rsid w:val="00435059"/>
    <w:rsid w:val="004350B8"/>
    <w:rsid w:val="00437228"/>
    <w:rsid w:val="004376B1"/>
    <w:rsid w:val="00441400"/>
    <w:rsid w:val="00441B00"/>
    <w:rsid w:val="00441F30"/>
    <w:rsid w:val="00444AAB"/>
    <w:rsid w:val="00450089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2A9F"/>
    <w:rsid w:val="00544DFE"/>
    <w:rsid w:val="00545B87"/>
    <w:rsid w:val="00550E2F"/>
    <w:rsid w:val="005570B3"/>
    <w:rsid w:val="005723F7"/>
    <w:rsid w:val="005734CE"/>
    <w:rsid w:val="00577EF4"/>
    <w:rsid w:val="00583D36"/>
    <w:rsid w:val="005842E9"/>
    <w:rsid w:val="00585FA8"/>
    <w:rsid w:val="00586664"/>
    <w:rsid w:val="00593290"/>
    <w:rsid w:val="0059694E"/>
    <w:rsid w:val="005A12F7"/>
    <w:rsid w:val="005A16A1"/>
    <w:rsid w:val="005A1B30"/>
    <w:rsid w:val="005A3C66"/>
    <w:rsid w:val="005A53AC"/>
    <w:rsid w:val="005B1A32"/>
    <w:rsid w:val="005B2483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475A"/>
    <w:rsid w:val="005E6ABD"/>
    <w:rsid w:val="005E6DDE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22BC"/>
    <w:rsid w:val="006822BE"/>
    <w:rsid w:val="00691154"/>
    <w:rsid w:val="00692415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24B1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D68"/>
    <w:rsid w:val="00732F4C"/>
    <w:rsid w:val="00737D79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3E58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1E8E"/>
    <w:rsid w:val="007E257E"/>
    <w:rsid w:val="007E341A"/>
    <w:rsid w:val="007F126F"/>
    <w:rsid w:val="007F7C21"/>
    <w:rsid w:val="00806134"/>
    <w:rsid w:val="008138ED"/>
    <w:rsid w:val="00823F3B"/>
    <w:rsid w:val="008249A7"/>
    <w:rsid w:val="00830B70"/>
    <w:rsid w:val="00840749"/>
    <w:rsid w:val="0085384A"/>
    <w:rsid w:val="00853E17"/>
    <w:rsid w:val="00865128"/>
    <w:rsid w:val="008739C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B1C9A"/>
    <w:rsid w:val="008C4BCD"/>
    <w:rsid w:val="008C6721"/>
    <w:rsid w:val="008D03D6"/>
    <w:rsid w:val="008D24C8"/>
    <w:rsid w:val="008D358F"/>
    <w:rsid w:val="008D3826"/>
    <w:rsid w:val="008D7D73"/>
    <w:rsid w:val="008E39F7"/>
    <w:rsid w:val="008F0B57"/>
    <w:rsid w:val="008F0F90"/>
    <w:rsid w:val="008F2D9B"/>
    <w:rsid w:val="008F3EA3"/>
    <w:rsid w:val="008F6B06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047B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521B"/>
    <w:rsid w:val="009A669B"/>
    <w:rsid w:val="009A7214"/>
    <w:rsid w:val="009B4423"/>
    <w:rsid w:val="009B78E7"/>
    <w:rsid w:val="009C57A8"/>
    <w:rsid w:val="009C6140"/>
    <w:rsid w:val="009D2FA4"/>
    <w:rsid w:val="009D50CE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23778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A2C57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24D63"/>
    <w:rsid w:val="00B401B8"/>
    <w:rsid w:val="00B410E2"/>
    <w:rsid w:val="00B41415"/>
    <w:rsid w:val="00B440C3"/>
    <w:rsid w:val="00B50560"/>
    <w:rsid w:val="00B51F41"/>
    <w:rsid w:val="00B548D3"/>
    <w:rsid w:val="00B64B3C"/>
    <w:rsid w:val="00B673C6"/>
    <w:rsid w:val="00B673FB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36AF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2E4A"/>
    <w:rsid w:val="00C1699A"/>
    <w:rsid w:val="00C20479"/>
    <w:rsid w:val="00C20DA7"/>
    <w:rsid w:val="00C26361"/>
    <w:rsid w:val="00C302F1"/>
    <w:rsid w:val="00C309E4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88B"/>
    <w:rsid w:val="00CB5BE8"/>
    <w:rsid w:val="00CB6849"/>
    <w:rsid w:val="00CB734D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04EB9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3F5E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D3FA6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89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38C"/>
    <w:rsid w:val="00FA2DF4"/>
    <w:rsid w:val="00FB176C"/>
    <w:rsid w:val="00FB20C6"/>
    <w:rsid w:val="00FB3056"/>
    <w:rsid w:val="00FB61D4"/>
    <w:rsid w:val="00FC3149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a.Pendyk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01A4E-635C-4F4D-8B50-592A16AD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2206</Words>
  <Characters>13236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2020-11-27T15:57:00Z</dcterms:created>
  <dcterms:modified xsi:type="dcterms:W3CDTF">2021-01-12T16:14:00Z</dcterms:modified>
</cp:coreProperties>
</file>